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C8" w:rsidRPr="00E938E9" w:rsidRDefault="00170467" w:rsidP="00E938E9">
      <w:pPr>
        <w:widowControl w:val="0"/>
        <w:spacing w:after="0" w:line="497" w:lineRule="exact"/>
        <w:ind w:right="-20"/>
        <w:jc w:val="both"/>
        <w:rPr>
          <w:rFonts w:ascii="Garamond" w:eastAsia="Trixie-Text" w:hAnsi="Garamond" w:cs="Trixie-Text"/>
          <w:b/>
          <w:color w:val="7FB539"/>
          <w:sz w:val="32"/>
          <w:szCs w:val="32"/>
        </w:rPr>
      </w:pPr>
      <w:r w:rsidRPr="00E938E9">
        <w:rPr>
          <w:rFonts w:ascii="Garamond" w:eastAsia="Trixie-Text" w:hAnsi="Garamond" w:cs="Trixie-Text"/>
          <w:b/>
          <w:color w:val="7FB539"/>
          <w:sz w:val="32"/>
          <w:szCs w:val="32"/>
        </w:rPr>
        <w:t>INTRODUZIONE</w:t>
      </w:r>
    </w:p>
    <w:p w:rsidR="00170467" w:rsidRPr="00E938E9" w:rsidRDefault="00170467" w:rsidP="00E938E9">
      <w:pPr>
        <w:widowControl w:val="0"/>
        <w:spacing w:after="0" w:line="497" w:lineRule="exact"/>
        <w:ind w:right="-20"/>
        <w:jc w:val="both"/>
        <w:rPr>
          <w:rFonts w:ascii="Garamond" w:eastAsia="Trixie-Text" w:hAnsi="Garamond" w:cs="Trixie-Text"/>
          <w:color w:val="7FB539"/>
          <w:sz w:val="28"/>
          <w:szCs w:val="28"/>
        </w:rPr>
      </w:pPr>
    </w:p>
    <w:p w:rsidR="00E858C8" w:rsidRPr="00E938E9" w:rsidRDefault="00DB5D0F" w:rsidP="00E938E9">
      <w:pPr>
        <w:widowControl w:val="0"/>
        <w:spacing w:before="61" w:after="0" w:line="250" w:lineRule="auto"/>
        <w:ind w:right="1488"/>
        <w:jc w:val="both"/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La pubblicazione del presente rapporto avviene in un momento in cui le relazioni diplomatiche tra la Repubblica Islamica dell’Iran e la comunità internazionale si sono particolarmente rinsaldate, soprattutto a seguito delle elezioni presidenziali del giugno 2013 che hanno decretato la vittoria di </w:t>
      </w:r>
      <w:proofErr w:type="spellStart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Hassan</w:t>
      </w:r>
      <w:proofErr w:type="spellEnd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</w:t>
      </w:r>
      <w:proofErr w:type="spellStart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Rouhani</w:t>
      </w:r>
      <w:proofErr w:type="spellEnd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.</w:t>
      </w:r>
    </w:p>
    <w:p w:rsidR="00E858C8" w:rsidRPr="00E938E9" w:rsidRDefault="003A3251" w:rsidP="00E938E9">
      <w:pPr>
        <w:widowControl w:val="0"/>
        <w:spacing w:before="61" w:after="0" w:line="250" w:lineRule="auto"/>
        <w:ind w:right="1488"/>
        <w:jc w:val="both"/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Durante il 2014 mo</w:t>
      </w:r>
      <w:r w:rsidR="00332A56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lti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sono stati gli incontri e le occasioni di confronto tra le autorità iraniane ed i governi occidentali: rappresentanti politici, </w:t>
      </w:r>
      <w:r w:rsidR="005A6062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legislatori, </w:t>
      </w:r>
      <w:r w:rsidR="00737D8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alti funzionari dell’UE e ministri degli Esteri si sono recati in visita ufficiale a Teheran. Malgrado ciò, i dati raccolti da Iran Human </w:t>
      </w:r>
      <w:proofErr w:type="spellStart"/>
      <w:r w:rsidR="00737D8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Rights</w:t>
      </w:r>
      <w:proofErr w:type="spellEnd"/>
      <w:r w:rsidR="00737D8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(IHR) e pubblicati nel presente rapporto, indicano che il numero di esecuzioni condotte nel 2014 è il più alto registrato negli ultimi quindici anni, con un notevole incremento nei diciotto mesi successivi all’elezione di </w:t>
      </w:r>
      <w:proofErr w:type="spellStart"/>
      <w:r w:rsidR="00737D8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Rouhani</w:t>
      </w:r>
      <w:proofErr w:type="spellEnd"/>
      <w:r w:rsidR="00737D8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.</w:t>
      </w:r>
      <w:r w:rsidR="007D3BD0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</w:t>
      </w:r>
      <w:r w:rsidR="0035723D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Inoltre, dal 1990 si è registrato il p</w:t>
      </w:r>
      <w:r w:rsidR="007D3BD0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iù alto </w:t>
      </w:r>
      <w:r w:rsidR="0035723D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numero </w:t>
      </w:r>
      <w:r w:rsidR="007D3BD0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di esecuzioni </w:t>
      </w:r>
      <w:r w:rsidR="0035723D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di rei minorenni, e continuano ad essere messi a morte, da parte delle autorità iraniane, attivisti poli</w:t>
      </w:r>
      <w:r w:rsidR="00425D5D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tici e civili.</w:t>
      </w:r>
      <w:r w:rsidR="0035723D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L’ esecuzione dei due insegnanti arabi, </w:t>
      </w:r>
      <w:proofErr w:type="spellStart"/>
      <w:r w:rsidR="0035723D" w:rsidRPr="00332A56">
        <w:rPr>
          <w:rFonts w:ascii="Garamond" w:eastAsia="Arial" w:hAnsi="Garamond" w:cs="Arial"/>
          <w:b/>
          <w:color w:val="231F20"/>
          <w:sz w:val="24"/>
          <w:szCs w:val="24"/>
          <w:lang w:val="it-IT"/>
        </w:rPr>
        <w:t>Hadi</w:t>
      </w:r>
      <w:proofErr w:type="spellEnd"/>
      <w:r w:rsidR="0035723D" w:rsidRPr="00332A56">
        <w:rPr>
          <w:rFonts w:ascii="Garamond" w:eastAsia="Arial" w:hAnsi="Garamond" w:cs="Arial"/>
          <w:b/>
          <w:color w:val="231F20"/>
          <w:spacing w:val="-16"/>
          <w:sz w:val="24"/>
          <w:szCs w:val="24"/>
          <w:lang w:val="it-IT"/>
        </w:rPr>
        <w:t xml:space="preserve"> </w:t>
      </w:r>
      <w:proofErr w:type="spellStart"/>
      <w:r w:rsidR="0035723D" w:rsidRPr="00332A56">
        <w:rPr>
          <w:rFonts w:ascii="Garamond" w:eastAsia="Arial" w:hAnsi="Garamond" w:cs="Arial"/>
          <w:b/>
          <w:color w:val="231F20"/>
          <w:w w:val="94"/>
          <w:sz w:val="24"/>
          <w:szCs w:val="24"/>
          <w:lang w:val="it-IT"/>
        </w:rPr>
        <w:t>Rashedi</w:t>
      </w:r>
      <w:proofErr w:type="spellEnd"/>
      <w:r w:rsidR="0035723D" w:rsidRPr="00E938E9">
        <w:rPr>
          <w:rFonts w:ascii="Garamond" w:eastAsia="Arial" w:hAnsi="Garamond" w:cs="Arial"/>
          <w:color w:val="231F20"/>
          <w:spacing w:val="3"/>
          <w:w w:val="94"/>
          <w:sz w:val="24"/>
          <w:szCs w:val="24"/>
          <w:lang w:val="it-IT"/>
        </w:rPr>
        <w:t xml:space="preserve"> </w:t>
      </w:r>
      <w:r w:rsidR="0035723D"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e</w:t>
      </w:r>
      <w:r w:rsidR="0035723D" w:rsidRPr="00E938E9">
        <w:rPr>
          <w:rFonts w:ascii="Garamond" w:eastAsia="Arial" w:hAnsi="Garamond" w:cs="Arial"/>
          <w:color w:val="231F20"/>
          <w:spacing w:val="-10"/>
          <w:sz w:val="24"/>
          <w:szCs w:val="24"/>
          <w:lang w:val="it-IT"/>
        </w:rPr>
        <w:t xml:space="preserve"> </w:t>
      </w:r>
      <w:proofErr w:type="spellStart"/>
      <w:r w:rsidR="0035723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>Hashem</w:t>
      </w:r>
      <w:proofErr w:type="spellEnd"/>
      <w:r w:rsidR="0035723D" w:rsidRPr="00332A56">
        <w:rPr>
          <w:rFonts w:ascii="Garamond" w:eastAsia="Arial" w:hAnsi="Garamond" w:cs="Arial"/>
          <w:b/>
          <w:color w:val="231F20"/>
          <w:spacing w:val="10"/>
          <w:w w:val="95"/>
          <w:sz w:val="24"/>
          <w:szCs w:val="24"/>
          <w:lang w:val="it-IT"/>
        </w:rPr>
        <w:t xml:space="preserve"> </w:t>
      </w:r>
      <w:proofErr w:type="spellStart"/>
      <w:r w:rsidR="0035723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>Shabani</w:t>
      </w:r>
      <w:proofErr w:type="spellEnd"/>
      <w:r w:rsidR="00332A56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- </w:t>
      </w:r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membri di una a</w:t>
      </w:r>
      <w:r w:rsidR="00332A56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ssociazione culturale araba (Al</w:t>
      </w:r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–</w:t>
      </w:r>
      <w:proofErr w:type="spellStart"/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Hiwa</w:t>
      </w:r>
      <w:proofErr w:type="spellEnd"/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, “dialogo</w:t>
      </w:r>
      <w:r w:rsidR="00332A56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”) -</w:t>
      </w:r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di </w:t>
      </w:r>
      <w:proofErr w:type="spellStart"/>
      <w:r w:rsidR="00425D5D" w:rsidRPr="00332A56">
        <w:rPr>
          <w:rFonts w:ascii="Garamond" w:eastAsia="Arial" w:hAnsi="Garamond" w:cs="Arial"/>
          <w:b/>
          <w:color w:val="231F20"/>
          <w:w w:val="94"/>
          <w:sz w:val="24"/>
          <w:szCs w:val="24"/>
          <w:lang w:val="it-IT"/>
        </w:rPr>
        <w:t>Gholam</w:t>
      </w:r>
      <w:r w:rsidR="00425D5D" w:rsidRPr="00332A56">
        <w:rPr>
          <w:rFonts w:ascii="Garamond" w:eastAsia="Arial" w:hAnsi="Garamond" w:cs="Arial"/>
          <w:b/>
          <w:color w:val="231F20"/>
          <w:spacing w:val="-4"/>
          <w:w w:val="94"/>
          <w:sz w:val="24"/>
          <w:szCs w:val="24"/>
          <w:lang w:val="it-IT"/>
        </w:rPr>
        <w:t>r</w:t>
      </w:r>
      <w:r w:rsidR="00425D5D" w:rsidRPr="00332A56">
        <w:rPr>
          <w:rFonts w:ascii="Garamond" w:eastAsia="Arial" w:hAnsi="Garamond" w:cs="Arial"/>
          <w:b/>
          <w:color w:val="231F20"/>
          <w:w w:val="94"/>
          <w:sz w:val="24"/>
          <w:szCs w:val="24"/>
          <w:lang w:val="it-IT"/>
        </w:rPr>
        <w:t>eza</w:t>
      </w:r>
      <w:proofErr w:type="spellEnd"/>
      <w:r w:rsidR="00425D5D" w:rsidRPr="00332A56">
        <w:rPr>
          <w:rFonts w:ascii="Garamond" w:eastAsia="Arial" w:hAnsi="Garamond" w:cs="Arial"/>
          <w:b/>
          <w:color w:val="231F20"/>
          <w:spacing w:val="15"/>
          <w:w w:val="94"/>
          <w:sz w:val="24"/>
          <w:szCs w:val="24"/>
          <w:lang w:val="it-IT"/>
        </w:rPr>
        <w:t xml:space="preserve"> </w:t>
      </w:r>
      <w:proofErr w:type="spellStart"/>
      <w:r w:rsidR="00425D5D" w:rsidRPr="00332A56">
        <w:rPr>
          <w:rFonts w:ascii="Garamond" w:eastAsia="Arial" w:hAnsi="Garamond" w:cs="Arial"/>
          <w:b/>
          <w:color w:val="231F20"/>
          <w:w w:val="94"/>
          <w:sz w:val="24"/>
          <w:szCs w:val="24"/>
          <w:lang w:val="it-IT"/>
        </w:rPr>
        <w:t>Khosravi</w:t>
      </w:r>
      <w:proofErr w:type="spellEnd"/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, accusato</w:t>
      </w:r>
      <w:r w:rsidR="0035723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di aver sostenuto economicamente </w:t>
      </w:r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un gruppo di opposizione clandestino, e di </w:t>
      </w:r>
      <w:proofErr w:type="spellStart"/>
      <w:r w:rsidR="00425D5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>Mohsen</w:t>
      </w:r>
      <w:proofErr w:type="spellEnd"/>
      <w:r w:rsidR="00425D5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 xml:space="preserve"> </w:t>
      </w:r>
      <w:proofErr w:type="spellStart"/>
      <w:r w:rsidR="00425D5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>Amir</w:t>
      </w:r>
      <w:proofErr w:type="spellEnd"/>
      <w:r w:rsidR="00425D5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 xml:space="preserve"> </w:t>
      </w:r>
      <w:proofErr w:type="spellStart"/>
      <w:r w:rsidR="00425D5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>Aslani</w:t>
      </w:r>
      <w:proofErr w:type="spellEnd"/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, accusato di blasfemia ed eresia, sono infatti solo alcuni drammatici esempi. A rischio di esecuzione rimane </w:t>
      </w:r>
      <w:proofErr w:type="spellStart"/>
      <w:r w:rsidR="00425D5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>Soheil</w:t>
      </w:r>
      <w:proofErr w:type="spellEnd"/>
      <w:r w:rsidR="00425D5D" w:rsidRPr="00332A56">
        <w:rPr>
          <w:rFonts w:ascii="Garamond" w:eastAsia="Arial" w:hAnsi="Garamond" w:cs="Arial"/>
          <w:b/>
          <w:color w:val="231F20"/>
          <w:w w:val="95"/>
          <w:sz w:val="24"/>
          <w:szCs w:val="24"/>
          <w:lang w:val="it-IT"/>
        </w:rPr>
        <w:t xml:space="preserve"> Arabi</w:t>
      </w:r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, accusato di aver insultato il Profeta sulla sua pagina </w:t>
      </w:r>
      <w:proofErr w:type="spellStart"/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Facebook</w:t>
      </w:r>
      <w:proofErr w:type="spellEnd"/>
      <w:r w:rsidR="00425D5D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e condannato a morte </w:t>
      </w:r>
      <w:r w:rsidR="00170467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dal tribunale </w:t>
      </w:r>
      <w:r w:rsidR="00332A56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della </w:t>
      </w:r>
      <w:r w:rsidR="00170467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Corte Suprema.</w:t>
      </w:r>
    </w:p>
    <w:p w:rsidR="00C26640" w:rsidRPr="00E938E9" w:rsidRDefault="00C26640" w:rsidP="00E938E9">
      <w:pPr>
        <w:widowControl w:val="0"/>
        <w:spacing w:before="61" w:after="0" w:line="250" w:lineRule="auto"/>
        <w:ind w:right="1488"/>
        <w:jc w:val="both"/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Il rapporto solleva l’im</w:t>
      </w:r>
      <w:r w:rsidR="00A15E69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portante interrogativo sul reale peso che la questione “pena di morte” abbia nell’ambito dei dialoghi bilaterali tra l’Iran e i paesi che sono tra i principali promotori dell’abolizione della pena capitale sulla scena internazionale.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Se la pena di </w:t>
      </w:r>
      <w:r w:rsidR="00A15E69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morte è una questione di grande rilievo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, </w:t>
      </w:r>
      <w:r w:rsidR="00A15E69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come spiegare il notevole incremento di esecuzioni </w:t>
      </w:r>
      <w:r w:rsidR="004F1D28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a fronte di relazioni diplomatiche sempre più fiorenti? E soprattutto, quali misure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la comunità</w:t>
      </w:r>
      <w:r w:rsidR="004F1D28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internazionale intende adottare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per contrastare questa tendenza?</w:t>
      </w:r>
    </w:p>
    <w:p w:rsidR="00425D5D" w:rsidRPr="00E938E9" w:rsidRDefault="00DB67A1" w:rsidP="00E938E9">
      <w:pPr>
        <w:widowControl w:val="0"/>
        <w:spacing w:before="61" w:after="0" w:line="250" w:lineRule="auto"/>
        <w:ind w:right="1488"/>
        <w:jc w:val="both"/>
        <w:rPr>
          <w:rFonts w:ascii="Garamond" w:eastAsia="Arial" w:hAnsi="Garamond" w:cs="Arial"/>
          <w:color w:val="231F20"/>
          <w:w w:val="98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"Sebbene le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relazioni tra la c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omunità internazionale e la Repubblica Islamica dell’Iran siano notevolmente migliorate,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la s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ituazione della pena di morte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è deteriorata in modo sign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ificativo durante la presidenza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di </w:t>
      </w:r>
      <w:proofErr w:type="spellStart"/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Hassan</w:t>
      </w:r>
      <w:proofErr w:type="spellEnd"/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</w:t>
      </w:r>
      <w:proofErr w:type="spellStart"/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Rouhani</w:t>
      </w:r>
      <w:proofErr w:type="spellEnd"/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. Questa tendenza non può continuare.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Le restrizioni sull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'uso della pena di mort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e devono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essere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in cima all’agenda nel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dialogo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tra la comunità internazionale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e l'Iran. E 'il momento di dimostrare che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anche i diritti umani devono trarre beneficio da questi confronti" –</w:t>
      </w:r>
      <w:r w:rsidR="00170467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così 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c</w:t>
      </w:r>
      <w:r w:rsidR="00170467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ommenta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</w:t>
      </w:r>
      <w:proofErr w:type="spellStart"/>
      <w:r w:rsidRPr="00332A56">
        <w:rPr>
          <w:rFonts w:ascii="Garamond" w:eastAsia="Arial" w:hAnsi="Garamond" w:cs="Arial"/>
          <w:b/>
          <w:color w:val="231F20"/>
          <w:sz w:val="24"/>
          <w:szCs w:val="24"/>
          <w:lang w:val="it-IT"/>
        </w:rPr>
        <w:t>Mahmood</w:t>
      </w:r>
      <w:proofErr w:type="spellEnd"/>
      <w:r w:rsidRPr="00332A56">
        <w:rPr>
          <w:rFonts w:ascii="Garamond" w:eastAsia="Arial" w:hAnsi="Garamond" w:cs="Arial"/>
          <w:b/>
          <w:color w:val="231F20"/>
          <w:spacing w:val="-9"/>
          <w:sz w:val="24"/>
          <w:szCs w:val="24"/>
          <w:lang w:val="it-IT"/>
        </w:rPr>
        <w:t xml:space="preserve"> </w:t>
      </w:r>
      <w:proofErr w:type="spellStart"/>
      <w:r w:rsidRPr="00332A56">
        <w:rPr>
          <w:rFonts w:ascii="Garamond" w:eastAsia="Arial" w:hAnsi="Garamond" w:cs="Arial"/>
          <w:b/>
          <w:color w:val="231F20"/>
          <w:w w:val="98"/>
          <w:sz w:val="24"/>
          <w:szCs w:val="24"/>
          <w:lang w:val="it-IT"/>
        </w:rPr>
        <w:t>Amiry-Moghaddam</w:t>
      </w:r>
      <w:proofErr w:type="spellEnd"/>
      <w:r w:rsidRPr="00E938E9">
        <w:rPr>
          <w:rFonts w:ascii="Garamond" w:eastAsia="Arial" w:hAnsi="Garamond" w:cs="Arial"/>
          <w:color w:val="231F20"/>
          <w:w w:val="98"/>
          <w:sz w:val="24"/>
          <w:szCs w:val="24"/>
          <w:lang w:val="it-IT"/>
        </w:rPr>
        <w:t>, direttore e portavoce di IHR.</w:t>
      </w:r>
    </w:p>
    <w:p w:rsidR="00425D5D" w:rsidRPr="00332A56" w:rsidRDefault="00F85F21" w:rsidP="00E938E9">
      <w:pPr>
        <w:widowControl w:val="0"/>
        <w:spacing w:before="61" w:after="0" w:line="250" w:lineRule="auto"/>
        <w:ind w:right="1488"/>
        <w:jc w:val="both"/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Il rapporto, inoltre, verrà pubblicato pochi giorni prima che l’Iran venga esaminato dalla Revisione Periodica Universale (Universal </w:t>
      </w:r>
      <w:proofErr w:type="spellStart"/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Periodic</w:t>
      </w:r>
      <w:proofErr w:type="spellEnd"/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</w:t>
      </w:r>
      <w:proofErr w:type="spellStart"/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Review</w:t>
      </w:r>
      <w:proofErr w:type="spellEnd"/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– UPR) al Consigli</w:t>
      </w:r>
      <w:r w:rsidR="008D12A9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o dei Diritti Umani delle</w:t>
      </w:r>
      <w:r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Nazioni Unite, dove </w:t>
      </w:r>
      <w:r w:rsidR="008D12A9" w:rsidRPr="00E938E9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>la Repubblica Islamica dovrà rispondere a più di 290 raccomandazioni, tra cui 39 riguardanti, specificamente, la pena di morte. Anche all’interno dell’Iran aumentano le posizioni che si oppongono all’uso della pena capitale.</w:t>
      </w:r>
      <w:r w:rsidR="00332A56">
        <w:rPr>
          <w:rFonts w:ascii="Garamond" w:eastAsia="Arial" w:hAnsi="Garamond" w:cs="Arial"/>
          <w:color w:val="231F20"/>
          <w:w w:val="95"/>
          <w:sz w:val="24"/>
          <w:szCs w:val="24"/>
          <w:lang w:val="it-IT"/>
        </w:rPr>
        <w:t xml:space="preserve"> </w:t>
      </w:r>
      <w:r w:rsidR="008D12A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Alcuni funzionari iraniani hanno sottolineato la necessità di modificare le leggi</w:t>
      </w:r>
      <w:r w:rsidR="008D12A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</w:t>
      </w:r>
      <w:r w:rsidR="008D12A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contro il narcotraffico per diminuire </w:t>
      </w:r>
      <w:r w:rsidR="008D12A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i</w:t>
      </w:r>
      <w:r w:rsidR="008D12A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l numero di esecuzioni per reati legati alla droga, e la legislazione </w:t>
      </w:r>
      <w:r w:rsidR="008D12A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in materia di pena di morte per i</w:t>
      </w:r>
      <w:r w:rsidR="008D12A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rei minorenni.</w:t>
      </w:r>
    </w:p>
    <w:p w:rsidR="004A3A0E" w:rsidRPr="00E938E9" w:rsidRDefault="004A3A0E" w:rsidP="00E938E9">
      <w:pPr>
        <w:widowControl w:val="0"/>
        <w:spacing w:before="61" w:after="0" w:line="250" w:lineRule="auto"/>
        <w:ind w:right="1488"/>
        <w:jc w:val="both"/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</w:pPr>
      <w:proofErr w:type="spellStart"/>
      <w:r w:rsidRPr="00332A56">
        <w:rPr>
          <w:rFonts w:ascii="Garamond" w:eastAsia="Arial" w:hAnsi="Garamond" w:cs="Arial"/>
          <w:b/>
          <w:color w:val="231F20"/>
          <w:w w:val="93"/>
          <w:sz w:val="24"/>
          <w:szCs w:val="24"/>
          <w:lang w:val="it-IT"/>
        </w:rPr>
        <w:t>Raphaël</w:t>
      </w:r>
      <w:proofErr w:type="spellEnd"/>
      <w:r w:rsidRPr="00332A56">
        <w:rPr>
          <w:rFonts w:ascii="Garamond" w:eastAsia="Arial" w:hAnsi="Garamond" w:cs="Arial"/>
          <w:b/>
          <w:color w:val="231F20"/>
          <w:w w:val="93"/>
          <w:sz w:val="24"/>
          <w:szCs w:val="24"/>
          <w:lang w:val="it-IT"/>
        </w:rPr>
        <w:t xml:space="preserve"> </w:t>
      </w:r>
      <w:proofErr w:type="spellStart"/>
      <w:r w:rsidRPr="00332A56">
        <w:rPr>
          <w:rFonts w:ascii="Garamond" w:eastAsia="Arial" w:hAnsi="Garamond" w:cs="Arial"/>
          <w:b/>
          <w:color w:val="231F20"/>
          <w:w w:val="93"/>
          <w:sz w:val="24"/>
          <w:szCs w:val="24"/>
          <w:lang w:val="it-IT"/>
        </w:rPr>
        <w:t>Chenuil-Hazan</w:t>
      </w:r>
      <w:proofErr w:type="spellEnd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, direttore esecutivo di </w:t>
      </w:r>
      <w:r w:rsidRPr="00332A56">
        <w:rPr>
          <w:rFonts w:ascii="Garamond" w:eastAsia="Arial" w:hAnsi="Garamond" w:cs="Arial"/>
          <w:b/>
          <w:color w:val="231F20"/>
          <w:w w:val="93"/>
          <w:sz w:val="24"/>
          <w:szCs w:val="24"/>
          <w:lang w:val="it-IT"/>
        </w:rPr>
        <w:t>ECPM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(Ensemble </w:t>
      </w:r>
      <w:proofErr w:type="spellStart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Contre</w:t>
      </w:r>
      <w:proofErr w:type="spellEnd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la </w:t>
      </w:r>
      <w:proofErr w:type="spellStart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Peine</w:t>
      </w:r>
      <w:proofErr w:type="spellEnd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de </w:t>
      </w:r>
      <w:proofErr w:type="spellStart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Mort</w:t>
      </w:r>
      <w:proofErr w:type="spellEnd"/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)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, riferisce:</w:t>
      </w:r>
      <w:r w:rsidR="00332A56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"L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e relazioni diplomatiche e la Revisione Periodica Universale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sono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lastRenderedPageBreak/>
        <w:t>senz’altro ottime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opportunità per migliorare la situazio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ne della pena di morte in Iran. Ma sono necessarie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una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maggiore volontà e un’azione più incisiva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da parte della comunità internazionale</w:t>
      </w:r>
      <w:r w:rsidR="00332A56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,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e in particolare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del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l'Unione europea e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dei suoi membri nel dialogo con l’Iran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"</w:t>
      </w:r>
      <w:r w:rsidR="00332A56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.</w:t>
      </w:r>
    </w:p>
    <w:p w:rsidR="004A3A0E" w:rsidRPr="00E938E9" w:rsidRDefault="004A3A0E" w:rsidP="00E938E9">
      <w:pPr>
        <w:widowControl w:val="0"/>
        <w:spacing w:before="61" w:after="0" w:line="250" w:lineRule="auto"/>
        <w:ind w:right="1488"/>
        <w:jc w:val="both"/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IH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R e ECPM ritengono che l’estensione del mandato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del Relatore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Speciale delle Nazioni Unite per i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diritti umani in Iran, un attento monitoraggi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o delle raccomandazioni della Revisione Periodica Universale accettate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dall'Iran, </w:t>
      </w:r>
      <w:r w:rsidR="00376A3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porre come condizione all’ulteriore migliorament</w:t>
      </w:r>
      <w:r w:rsidR="00332A56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o delle relazioni </w:t>
      </w:r>
      <w:r w:rsidR="00376A3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maggiori restrizioni sull’ uso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alla pena di morte</w:t>
      </w:r>
      <w:r w:rsidR="00376A3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, e il sostegno alla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società civile iraniana che lot</w:t>
      </w:r>
      <w:r w:rsidR="00376A3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ta contro la pena di morte, siano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i mezzi con cui la comunità internazionale può </w:t>
      </w:r>
      <w:r w:rsidR="00376A39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contribuire a limitare l’uso della </w:t>
      </w:r>
      <w:r w:rsidR="00332A56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pena di morte nel paese.</w:t>
      </w:r>
    </w:p>
    <w:p w:rsidR="004A3A0E" w:rsidRPr="00E938E9" w:rsidRDefault="00376A39" w:rsidP="00E938E9">
      <w:pPr>
        <w:widowControl w:val="0"/>
        <w:spacing w:before="61" w:after="0" w:line="250" w:lineRule="auto"/>
        <w:ind w:right="1488"/>
        <w:jc w:val="both"/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Inoltre, 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l'abolizi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one della pena di morte per i rei minorenni e per i reati legati alla droga, l’abolizione delle 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e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secuzioni pubbliche rappresentano gli ambiti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i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n cui è possibile compiere 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significativi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progressi 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nel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corso del 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2015. Nell'attuale miglioramento delle relazioni </w:t>
      </w:r>
      <w:r w:rsidR="005E0B5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diplomatiche con la Repubblica I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slamica dell'Iran, IHR</w:t>
      </w:r>
      <w:r w:rsidR="005E0B5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e ECPM ricordano che la Norvegia e l'Unione E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uropea hanno un ruolo chiave </w:t>
      </w:r>
      <w:r w:rsidR="005014A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nel porre la</w:t>
      </w:r>
      <w:r w:rsidR="004A3A0E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 xml:space="preserve"> pena di morte in cima </w:t>
      </w:r>
      <w:r w:rsidR="005014AC"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all’agenda nel dialogo con l’Iran.</w:t>
      </w:r>
    </w:p>
    <w:p w:rsidR="004A3A0E" w:rsidRPr="00E938E9" w:rsidRDefault="004A3A0E" w:rsidP="00E938E9">
      <w:pPr>
        <w:widowControl w:val="0"/>
        <w:spacing w:before="8" w:after="0" w:line="170" w:lineRule="exact"/>
        <w:jc w:val="both"/>
        <w:rPr>
          <w:rFonts w:ascii="Garamond" w:eastAsia="Calibri" w:hAnsi="Garamond" w:cs="Arial"/>
          <w:sz w:val="24"/>
          <w:szCs w:val="24"/>
        </w:rPr>
      </w:pPr>
    </w:p>
    <w:p w:rsidR="004A3A0E" w:rsidRPr="00E938E9" w:rsidRDefault="004A3A0E" w:rsidP="00E938E9">
      <w:pPr>
        <w:jc w:val="both"/>
        <w:rPr>
          <w:rFonts w:ascii="Garamond" w:hAnsi="Garamond"/>
          <w:sz w:val="24"/>
          <w:szCs w:val="24"/>
        </w:rPr>
      </w:pPr>
    </w:p>
    <w:p w:rsidR="005014AC" w:rsidRPr="00E938E9" w:rsidRDefault="00A63664" w:rsidP="00E938E9">
      <w:pPr>
        <w:widowControl w:val="0"/>
        <w:spacing w:after="0" w:line="366" w:lineRule="exact"/>
        <w:ind w:right="-20"/>
        <w:jc w:val="both"/>
        <w:rPr>
          <w:rFonts w:ascii="Garamond" w:eastAsia="Trixie-Text" w:hAnsi="Garamond" w:cs="Trixie-Text"/>
          <w:color w:val="7FB539"/>
          <w:position w:val="-1"/>
          <w:sz w:val="24"/>
          <w:szCs w:val="24"/>
        </w:rPr>
      </w:pPr>
      <w:proofErr w:type="spellStart"/>
      <w:r w:rsidRPr="00E938E9">
        <w:rPr>
          <w:rFonts w:ascii="Garamond" w:eastAsia="Trixie-Text" w:hAnsi="Garamond" w:cs="Trixie-Text"/>
          <w:b/>
          <w:color w:val="7FB539"/>
          <w:position w:val="-1"/>
          <w:sz w:val="32"/>
          <w:szCs w:val="32"/>
        </w:rPr>
        <w:t>Rapporto</w:t>
      </w:r>
      <w:proofErr w:type="spellEnd"/>
      <w:r w:rsidRPr="00E938E9">
        <w:rPr>
          <w:rFonts w:ascii="Garamond" w:eastAsia="Trixie-Text" w:hAnsi="Garamond" w:cs="Trixie-Text"/>
          <w:b/>
          <w:color w:val="7FB539"/>
          <w:position w:val="-1"/>
          <w:sz w:val="32"/>
          <w:szCs w:val="32"/>
        </w:rPr>
        <w:t xml:space="preserve"> </w:t>
      </w:r>
      <w:proofErr w:type="spellStart"/>
      <w:r w:rsidRPr="00E938E9">
        <w:rPr>
          <w:rFonts w:ascii="Garamond" w:eastAsia="Trixie-Text" w:hAnsi="Garamond" w:cs="Trixie-Text"/>
          <w:b/>
          <w:color w:val="7FB539"/>
          <w:position w:val="-1"/>
          <w:sz w:val="32"/>
          <w:szCs w:val="32"/>
        </w:rPr>
        <w:t>annuale</w:t>
      </w:r>
      <w:proofErr w:type="spellEnd"/>
      <w:r w:rsidRPr="00E938E9">
        <w:rPr>
          <w:rFonts w:ascii="Garamond" w:eastAsia="Trixie-Text" w:hAnsi="Garamond" w:cs="Trixie-Text"/>
          <w:b/>
          <w:color w:val="7FB539"/>
          <w:position w:val="-1"/>
          <w:sz w:val="32"/>
          <w:szCs w:val="32"/>
        </w:rPr>
        <w:t xml:space="preserve"> 2014 in </w:t>
      </w:r>
      <w:proofErr w:type="spellStart"/>
      <w:r w:rsidRPr="00E938E9">
        <w:rPr>
          <w:rFonts w:ascii="Garamond" w:eastAsia="Trixie-Text" w:hAnsi="Garamond" w:cs="Trixie-Text"/>
          <w:b/>
          <w:color w:val="7FB539"/>
          <w:position w:val="-1"/>
          <w:sz w:val="32"/>
          <w:szCs w:val="32"/>
        </w:rPr>
        <w:t>breve</w:t>
      </w:r>
      <w:proofErr w:type="spellEnd"/>
      <w:r w:rsidRPr="00E938E9">
        <w:rPr>
          <w:rFonts w:ascii="Garamond" w:eastAsia="Trixie-Text" w:hAnsi="Garamond" w:cs="Trixie-Text"/>
          <w:color w:val="7FB539"/>
          <w:position w:val="-1"/>
          <w:sz w:val="24"/>
          <w:szCs w:val="24"/>
        </w:rPr>
        <w:t>:</w:t>
      </w:r>
    </w:p>
    <w:p w:rsidR="005014AC" w:rsidRPr="00E938E9" w:rsidRDefault="005014AC" w:rsidP="00E938E9">
      <w:pPr>
        <w:widowControl w:val="0"/>
        <w:spacing w:before="2" w:after="0" w:line="130" w:lineRule="exact"/>
        <w:jc w:val="both"/>
        <w:rPr>
          <w:rFonts w:ascii="Garamond" w:eastAsia="Trixie-Text" w:hAnsi="Garamond" w:cs="Trixie-Text"/>
          <w:sz w:val="24"/>
          <w:szCs w:val="24"/>
        </w:rPr>
      </w:pPr>
    </w:p>
    <w:p w:rsidR="00A63664" w:rsidRPr="00E938E9" w:rsidRDefault="00A63664" w:rsidP="00E938E9">
      <w:pPr>
        <w:widowControl w:val="0"/>
        <w:spacing w:before="2" w:after="0" w:line="130" w:lineRule="exact"/>
        <w:jc w:val="both"/>
        <w:rPr>
          <w:rFonts w:ascii="Garamond" w:eastAsia="Trixie-Text" w:hAnsi="Garamond" w:cs="Trixie-Text"/>
          <w:sz w:val="24"/>
          <w:szCs w:val="24"/>
        </w:rPr>
      </w:pPr>
    </w:p>
    <w:p w:rsidR="00A63664" w:rsidRPr="00E938E9" w:rsidRDefault="00A63664" w:rsidP="00E938E9">
      <w:pPr>
        <w:widowControl w:val="0"/>
        <w:spacing w:before="2" w:after="0" w:line="130" w:lineRule="exact"/>
        <w:jc w:val="both"/>
        <w:rPr>
          <w:rFonts w:ascii="Garamond" w:eastAsia="Calibri" w:hAnsi="Garamond" w:cs="Arial"/>
          <w:sz w:val="24"/>
          <w:szCs w:val="24"/>
        </w:rPr>
      </w:pPr>
    </w:p>
    <w:p w:rsidR="005014AC" w:rsidRPr="00E938E9" w:rsidRDefault="005014AC" w:rsidP="00E938E9">
      <w:pPr>
        <w:widowControl w:val="0"/>
        <w:spacing w:after="0" w:line="240" w:lineRule="auto"/>
        <w:ind w:right="-20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7FB539"/>
          <w:w w:val="142"/>
          <w:sz w:val="24"/>
          <w:szCs w:val="24"/>
          <w:lang w:val="it-IT"/>
        </w:rPr>
        <w:t>•</w:t>
      </w:r>
      <w:r w:rsidR="00A63664"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 xml:space="preserve">753 esecuzioni nel </w:t>
      </w:r>
      <w:r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2014 (</w:t>
      </w:r>
      <w:r w:rsidR="00A63664"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aumento del</w:t>
      </w:r>
      <w:r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10%</w:t>
      </w:r>
      <w:r w:rsidRPr="00E938E9">
        <w:rPr>
          <w:rFonts w:ascii="Garamond" w:eastAsia="Arial" w:hAnsi="Garamond" w:cs="Arial"/>
          <w:color w:val="231F20"/>
          <w:spacing w:val="-19"/>
          <w:sz w:val="24"/>
          <w:szCs w:val="24"/>
          <w:lang w:val="it-IT"/>
        </w:rPr>
        <w:t xml:space="preserve"> </w:t>
      </w:r>
      <w:r w:rsidR="00A63664" w:rsidRPr="00E938E9">
        <w:rPr>
          <w:rFonts w:ascii="Garamond" w:eastAsia="Arial" w:hAnsi="Garamond" w:cs="Arial"/>
          <w:color w:val="231F20"/>
          <w:w w:val="94"/>
          <w:sz w:val="24"/>
          <w:szCs w:val="24"/>
          <w:lang w:val="it-IT"/>
        </w:rPr>
        <w:t>rispetto al 2013</w:t>
      </w:r>
      <w:r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)</w:t>
      </w:r>
    </w:p>
    <w:p w:rsidR="005014AC" w:rsidRPr="00E938E9" w:rsidRDefault="005014AC" w:rsidP="00E938E9">
      <w:pPr>
        <w:widowControl w:val="0"/>
        <w:spacing w:before="95" w:after="0" w:line="240" w:lineRule="auto"/>
        <w:ind w:right="-20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7FB539"/>
          <w:w w:val="142"/>
          <w:sz w:val="24"/>
          <w:szCs w:val="24"/>
          <w:lang w:val="it-IT"/>
        </w:rPr>
        <w:t>•</w:t>
      </w:r>
      <w:r w:rsidR="00A63664"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291 casi</w:t>
      </w:r>
      <w:r w:rsidRPr="00E938E9">
        <w:rPr>
          <w:rFonts w:ascii="Garamond" w:eastAsia="Arial" w:hAnsi="Garamond" w:cs="Arial"/>
          <w:color w:val="231F20"/>
          <w:spacing w:val="-21"/>
          <w:sz w:val="24"/>
          <w:szCs w:val="24"/>
          <w:lang w:val="it-IT"/>
        </w:rPr>
        <w:t xml:space="preserve"> </w:t>
      </w:r>
      <w:r w:rsidRPr="00E938E9">
        <w:rPr>
          <w:rFonts w:ascii="Garamond" w:eastAsia="Arial" w:hAnsi="Garamond" w:cs="Arial"/>
          <w:color w:val="231F20"/>
          <w:w w:val="93"/>
          <w:sz w:val="24"/>
          <w:szCs w:val="24"/>
          <w:lang w:val="it-IT"/>
        </w:rPr>
        <w:t>(39%)</w:t>
      </w:r>
      <w:r w:rsidRPr="00E938E9">
        <w:rPr>
          <w:rFonts w:ascii="Garamond" w:eastAsia="Arial" w:hAnsi="Garamond" w:cs="Arial"/>
          <w:color w:val="231F20"/>
          <w:spacing w:val="4"/>
          <w:w w:val="93"/>
          <w:sz w:val="24"/>
          <w:szCs w:val="24"/>
          <w:lang w:val="it-IT"/>
        </w:rPr>
        <w:t xml:space="preserve"> </w:t>
      </w:r>
      <w:r w:rsidR="00A63664"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 xml:space="preserve">resi noti da </w:t>
      </w:r>
      <w:r w:rsidR="00332A56">
        <w:rPr>
          <w:rFonts w:ascii="Garamond" w:eastAsia="Arial" w:hAnsi="Garamond" w:cs="Arial"/>
          <w:color w:val="231F20"/>
          <w:sz w:val="24"/>
          <w:szCs w:val="24"/>
          <w:lang w:val="it-IT"/>
        </w:rPr>
        <w:t>fonti ufficiali</w:t>
      </w:r>
    </w:p>
    <w:p w:rsidR="005014AC" w:rsidRPr="00E938E9" w:rsidRDefault="005014AC" w:rsidP="00E938E9">
      <w:pPr>
        <w:widowControl w:val="0"/>
        <w:spacing w:before="95" w:after="0" w:line="240" w:lineRule="auto"/>
        <w:ind w:right="-20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7FB539"/>
          <w:w w:val="142"/>
          <w:sz w:val="24"/>
          <w:szCs w:val="24"/>
          <w:lang w:val="it-IT"/>
        </w:rPr>
        <w:t>•</w:t>
      </w:r>
      <w:r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 xml:space="preserve">49% </w:t>
      </w:r>
      <w:r w:rsidRPr="00E938E9">
        <w:rPr>
          <w:rFonts w:ascii="Garamond" w:eastAsia="Arial" w:hAnsi="Garamond" w:cs="Arial"/>
          <w:color w:val="231F20"/>
          <w:w w:val="92"/>
          <w:sz w:val="24"/>
          <w:szCs w:val="24"/>
          <w:lang w:val="it-IT"/>
        </w:rPr>
        <w:t>(367)</w:t>
      </w:r>
      <w:r w:rsidRPr="00E938E9">
        <w:rPr>
          <w:rFonts w:ascii="Garamond" w:eastAsia="Arial" w:hAnsi="Garamond" w:cs="Arial"/>
          <w:color w:val="231F20"/>
          <w:spacing w:val="4"/>
          <w:w w:val="92"/>
          <w:sz w:val="24"/>
          <w:szCs w:val="24"/>
          <w:lang w:val="it-IT"/>
        </w:rPr>
        <w:t xml:space="preserve"> </w:t>
      </w:r>
      <w:r w:rsidR="00A63664" w:rsidRPr="00E938E9">
        <w:rPr>
          <w:rFonts w:ascii="Garamond" w:eastAsia="Arial" w:hAnsi="Garamond" w:cs="Arial"/>
          <w:color w:val="231F20"/>
          <w:spacing w:val="4"/>
          <w:w w:val="92"/>
          <w:sz w:val="24"/>
          <w:szCs w:val="24"/>
          <w:lang w:val="it-IT"/>
        </w:rPr>
        <w:t xml:space="preserve">delle </w:t>
      </w:r>
      <w:r w:rsidR="00A63664"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esecuzioni per reati legati alla droga</w:t>
      </w:r>
    </w:p>
    <w:p w:rsidR="005014AC" w:rsidRPr="00E938E9" w:rsidRDefault="005014AC" w:rsidP="00E938E9">
      <w:pPr>
        <w:widowControl w:val="0"/>
        <w:spacing w:before="95" w:after="0" w:line="240" w:lineRule="auto"/>
        <w:ind w:right="-20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7FB539"/>
          <w:w w:val="142"/>
          <w:sz w:val="24"/>
          <w:szCs w:val="24"/>
          <w:lang w:val="it-IT"/>
        </w:rPr>
        <w:t>•</w:t>
      </w:r>
      <w:r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32%</w:t>
      </w:r>
      <w:r w:rsidRPr="00E938E9">
        <w:rPr>
          <w:rFonts w:ascii="Garamond" w:eastAsia="Arial" w:hAnsi="Garamond" w:cs="Arial"/>
          <w:color w:val="231F20"/>
          <w:spacing w:val="55"/>
          <w:sz w:val="24"/>
          <w:szCs w:val="24"/>
          <w:lang w:val="it-IT"/>
        </w:rPr>
        <w:t xml:space="preserve"> </w:t>
      </w:r>
      <w:r w:rsidRPr="00E938E9">
        <w:rPr>
          <w:rFonts w:ascii="Garamond" w:eastAsia="Arial" w:hAnsi="Garamond" w:cs="Arial"/>
          <w:color w:val="231F20"/>
          <w:w w:val="92"/>
          <w:sz w:val="24"/>
          <w:szCs w:val="24"/>
          <w:lang w:val="it-IT"/>
        </w:rPr>
        <w:t>(240)</w:t>
      </w:r>
      <w:r w:rsidRPr="00E938E9">
        <w:rPr>
          <w:rFonts w:ascii="Garamond" w:eastAsia="Arial" w:hAnsi="Garamond" w:cs="Arial"/>
          <w:color w:val="231F20"/>
          <w:spacing w:val="4"/>
          <w:w w:val="92"/>
          <w:sz w:val="24"/>
          <w:szCs w:val="24"/>
          <w:lang w:val="it-IT"/>
        </w:rPr>
        <w:t xml:space="preserve"> </w:t>
      </w:r>
      <w:r w:rsidR="00A63664" w:rsidRPr="00E938E9">
        <w:rPr>
          <w:rFonts w:ascii="Garamond" w:eastAsia="Arial" w:hAnsi="Garamond" w:cs="Arial"/>
          <w:color w:val="231F20"/>
          <w:spacing w:val="4"/>
          <w:w w:val="92"/>
          <w:sz w:val="24"/>
          <w:szCs w:val="24"/>
          <w:lang w:val="it-IT"/>
        </w:rPr>
        <w:t>delle esecuzioni per reati di omicidio</w:t>
      </w:r>
    </w:p>
    <w:p w:rsidR="005014AC" w:rsidRPr="00E938E9" w:rsidRDefault="005014AC" w:rsidP="00E938E9">
      <w:pPr>
        <w:widowControl w:val="0"/>
        <w:spacing w:before="95" w:after="0" w:line="240" w:lineRule="auto"/>
        <w:ind w:right="-20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7FB539"/>
          <w:w w:val="142"/>
          <w:sz w:val="24"/>
          <w:szCs w:val="24"/>
          <w:lang w:val="it-IT"/>
        </w:rPr>
        <w:t>•</w:t>
      </w:r>
      <w:r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 xml:space="preserve">53 </w:t>
      </w:r>
      <w:r w:rsidR="00A63664" w:rsidRPr="00E938E9">
        <w:rPr>
          <w:rFonts w:ascii="Garamond" w:eastAsia="Arial" w:hAnsi="Garamond" w:cs="Arial"/>
          <w:color w:val="231F20"/>
          <w:w w:val="96"/>
          <w:sz w:val="24"/>
          <w:szCs w:val="24"/>
          <w:lang w:val="it-IT"/>
        </w:rPr>
        <w:t>esecuzioni pubbliche</w:t>
      </w:r>
    </w:p>
    <w:p w:rsidR="00A63664" w:rsidRPr="00E938E9" w:rsidRDefault="005014AC" w:rsidP="00E938E9">
      <w:pPr>
        <w:widowControl w:val="0"/>
        <w:spacing w:before="95" w:after="0" w:line="240" w:lineRule="auto"/>
        <w:ind w:right="-20"/>
        <w:jc w:val="both"/>
        <w:rPr>
          <w:rFonts w:ascii="Garamond" w:eastAsia="Arial" w:hAnsi="Garamond" w:cs="Arial"/>
          <w:color w:val="231F20"/>
          <w:w w:val="94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7FB539"/>
          <w:w w:val="142"/>
          <w:sz w:val="24"/>
          <w:szCs w:val="24"/>
          <w:lang w:val="it-IT"/>
        </w:rPr>
        <w:t>•</w:t>
      </w:r>
      <w:r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14</w:t>
      </w:r>
      <w:r w:rsidR="00A63664"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 xml:space="preserve"> rei minorenni messi a morte</w:t>
      </w:r>
      <w:r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 xml:space="preserve"> </w:t>
      </w:r>
    </w:p>
    <w:p w:rsidR="00332A56" w:rsidRDefault="005014AC" w:rsidP="00E938E9">
      <w:pPr>
        <w:widowControl w:val="0"/>
        <w:spacing w:before="95" w:after="0" w:line="240" w:lineRule="auto"/>
        <w:ind w:right="-20"/>
        <w:jc w:val="both"/>
        <w:rPr>
          <w:rFonts w:ascii="Garamond" w:eastAsia="Arial" w:hAnsi="Garamond" w:cs="Arial"/>
          <w:color w:val="231F20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7FB539"/>
          <w:w w:val="142"/>
          <w:sz w:val="24"/>
          <w:szCs w:val="24"/>
          <w:lang w:val="it-IT"/>
        </w:rPr>
        <w:t>•</w:t>
      </w:r>
      <w:r w:rsidR="00A63664" w:rsidRPr="00E938E9">
        <w:rPr>
          <w:rFonts w:ascii="Garamond" w:eastAsia="Arial" w:hAnsi="Garamond" w:cs="Arial"/>
          <w:color w:val="231F20"/>
          <w:sz w:val="24"/>
          <w:szCs w:val="24"/>
          <w:lang w:val="it-IT"/>
        </w:rPr>
        <w:t>26 donne messe a morte</w:t>
      </w:r>
    </w:p>
    <w:p w:rsidR="00814D3C" w:rsidRDefault="00814D3C" w:rsidP="00814D3C">
      <w:pPr>
        <w:widowControl w:val="0"/>
        <w:spacing w:before="95" w:after="0" w:line="240" w:lineRule="auto"/>
        <w:ind w:right="-20"/>
        <w:jc w:val="both"/>
        <w:rPr>
          <w:rFonts w:ascii="Garamond" w:eastAsia="Arial" w:hAnsi="Garamond" w:cs="Arial"/>
          <w:color w:val="231F20"/>
          <w:sz w:val="24"/>
          <w:szCs w:val="24"/>
          <w:lang w:val="it-IT"/>
        </w:rPr>
      </w:pPr>
      <w:r w:rsidRPr="00E938E9">
        <w:rPr>
          <w:rFonts w:ascii="Garamond" w:eastAsia="Arial" w:hAnsi="Garamond" w:cs="Arial"/>
          <w:color w:val="7FB539"/>
          <w:w w:val="142"/>
          <w:sz w:val="24"/>
          <w:szCs w:val="24"/>
          <w:lang w:val="it-IT"/>
        </w:rPr>
        <w:t>•</w:t>
      </w:r>
      <w:r>
        <w:rPr>
          <w:rFonts w:ascii="Garamond" w:eastAsia="Arial" w:hAnsi="Garamond" w:cs="Arial"/>
          <w:color w:val="231F20"/>
          <w:sz w:val="24"/>
          <w:szCs w:val="24"/>
          <w:lang w:val="it-IT"/>
        </w:rPr>
        <w:t xml:space="preserve">4 persone rianimate dopo l’esecuzione tramite </w:t>
      </w:r>
      <w:proofErr w:type="spellStart"/>
      <w:r>
        <w:rPr>
          <w:rFonts w:ascii="Garamond" w:eastAsia="Arial" w:hAnsi="Garamond" w:cs="Arial"/>
          <w:color w:val="231F20"/>
          <w:sz w:val="24"/>
          <w:szCs w:val="24"/>
          <w:lang w:val="it-IT"/>
        </w:rPr>
        <w:t>impiccaggione</w:t>
      </w:r>
      <w:proofErr w:type="spellEnd"/>
    </w:p>
    <w:p w:rsidR="00332A56" w:rsidRPr="00814D3C" w:rsidRDefault="00332A56" w:rsidP="00814D3C">
      <w:pPr>
        <w:widowControl w:val="0"/>
        <w:spacing w:before="95" w:after="0" w:line="240" w:lineRule="auto"/>
        <w:ind w:right="-20"/>
        <w:jc w:val="both"/>
        <w:rPr>
          <w:rFonts w:ascii="Garamond" w:eastAsia="Arial" w:hAnsi="Garamond" w:cs="Arial"/>
          <w:color w:val="231F20"/>
          <w:sz w:val="24"/>
          <w:szCs w:val="24"/>
          <w:lang w:val="it-IT"/>
        </w:rPr>
      </w:pPr>
    </w:p>
    <w:p w:rsidR="00E858C8" w:rsidRPr="00A63664" w:rsidRDefault="00E858C8">
      <w:pPr>
        <w:rPr>
          <w:lang w:val="it-IT"/>
        </w:rPr>
      </w:pPr>
      <w:bookmarkStart w:id="0" w:name="_GoBack"/>
      <w:bookmarkEnd w:id="0"/>
    </w:p>
    <w:p w:rsidR="00E858C8" w:rsidRPr="00A63664" w:rsidRDefault="00E858C8">
      <w:pPr>
        <w:rPr>
          <w:lang w:val="it-IT"/>
        </w:rPr>
      </w:pPr>
    </w:p>
    <w:sectPr w:rsidR="00E858C8" w:rsidRPr="00A6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ixie-Tex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160B7"/>
    <w:multiLevelType w:val="hybridMultilevel"/>
    <w:tmpl w:val="532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1B"/>
    <w:rsid w:val="00170467"/>
    <w:rsid w:val="00232152"/>
    <w:rsid w:val="00332A56"/>
    <w:rsid w:val="0035723D"/>
    <w:rsid w:val="00376A39"/>
    <w:rsid w:val="003A3251"/>
    <w:rsid w:val="00425D5D"/>
    <w:rsid w:val="004A3A0E"/>
    <w:rsid w:val="004F1D28"/>
    <w:rsid w:val="005014AC"/>
    <w:rsid w:val="0056251B"/>
    <w:rsid w:val="005A6062"/>
    <w:rsid w:val="005E0B5C"/>
    <w:rsid w:val="00737D8C"/>
    <w:rsid w:val="007D3BD0"/>
    <w:rsid w:val="00814D3C"/>
    <w:rsid w:val="008D12A9"/>
    <w:rsid w:val="00A15E69"/>
    <w:rsid w:val="00A63664"/>
    <w:rsid w:val="00B40CA0"/>
    <w:rsid w:val="00C26640"/>
    <w:rsid w:val="00DB5D0F"/>
    <w:rsid w:val="00DB67A1"/>
    <w:rsid w:val="00E858C8"/>
    <w:rsid w:val="00E938E9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858C8"/>
  </w:style>
  <w:style w:type="paragraph" w:styleId="Paragrafoelenco">
    <w:name w:val="List Paragraph"/>
    <w:basedOn w:val="Normale"/>
    <w:uiPriority w:val="34"/>
    <w:qFormat/>
    <w:rsid w:val="00814D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E858C8"/>
  </w:style>
  <w:style w:type="paragraph" w:styleId="Paragrafoelenco">
    <w:name w:val="List Paragraph"/>
    <w:basedOn w:val="Normale"/>
    <w:uiPriority w:val="34"/>
    <w:qFormat/>
    <w:rsid w:val="00814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2015-03-09T18:09:00Z</dcterms:created>
  <dcterms:modified xsi:type="dcterms:W3CDTF">2015-03-09T18:09:00Z</dcterms:modified>
</cp:coreProperties>
</file>